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44"/>
          <w:szCs w:val="44"/>
          <w:lang w:val="en-US" w:eastAsia="zh-CN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/>
        </w:rPr>
        <w:t>深圳市工程建设领域工资保证金担保函</w:t>
      </w:r>
    </w:p>
    <w:p>
      <w:pPr>
        <w:widowControl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建设单位担保等第三方担保方式参考版本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/>
        </w:rPr>
        <w:t>）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黑体"/>
          <w:kern w:val="2"/>
          <w:sz w:val="28"/>
          <w:szCs w:val="28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致：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区人力资源局（下称受益人）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根据《深圳市工程建设领域工资保证金管理办法（试行）》的有关规定，我方接受被保证人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有限公司（以下简称被保证人）的委托，就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项目（工程，合同总造价为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万元），在此向受益人提供不可撤销的工资支付保证：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一、本保证的最高担保金额为人民币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万元整（大写）；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二、本保证自开具之日起生效，有效期至项目（工程）建设项目竣工（交工）验收之日后</w:t>
      </w:r>
      <w:r>
        <w:rPr>
          <w:rFonts w:hint="eastAsia" w:ascii="仿宋_GB2312" w:hAnsi="Calibri" w:eastAsia="仿宋_GB2312" w:cs="黑体"/>
          <w:kern w:val="2"/>
          <w:sz w:val="28"/>
          <w:szCs w:val="28"/>
          <w:lang w:val="en-US" w:eastAsia="zh-CN"/>
        </w:rPr>
        <w:t>30天；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三、受益人凭本担保函正本原件发起索赔，索赔通知应当说明索赔理由、索赔金额、受款账户，并须在本担保函的保证期内送达我方；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四、在本保证担保的保证期内，我方将在收到受益人盖章确认的书面索赔通知书后，在三个工作日内，在本担保函的最高担保金额范围内，向受益人支付索赔款；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五、本担保函担保项下的权利不得转让；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本担保函保证期届满，或我方向受益人支付的索赔款已达本担保函的最高担保金额，我方担保责任即行免除。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黑体"/>
          <w:kern w:val="2"/>
          <w:sz w:val="28"/>
          <w:szCs w:val="28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保证人：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（盖章）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法定代表人或其授权委托代理人：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（签字或盖章）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  <w:u w:val="single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单位地址：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联系电话：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日</w:t>
      </w:r>
      <w:r>
        <w:rPr>
          <w:rFonts w:hint="eastAsia" w:ascii="仿宋_GB2312" w:hAnsi="Calibri" w:eastAsia="仿宋_GB2312" w:cs="黑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期：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年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月</w:t>
      </w:r>
      <w:r>
        <w:rPr>
          <w:rFonts w:hint="eastAsia" w:ascii="仿宋_GB2312" w:hAnsi="Calibri" w:eastAsia="仿宋_GB2312" w:cs="黑体"/>
          <w:kern w:val="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/>
        </w:rPr>
        <w:t>日</w:t>
      </w:r>
      <w:r>
        <w:rPr>
          <w:rFonts w:hint="eastAsia" w:ascii="仿宋_GB2312" w:hAnsi="Calibri" w:eastAsia="仿宋_GB2312" w:cs="黑体"/>
          <w:kern w:val="2"/>
          <w:sz w:val="28"/>
          <w:szCs w:val="28"/>
          <w:lang w:val="en-US" w:eastAsia="zh-CN"/>
        </w:rPr>
        <w:t xml:space="preserve">            </w:t>
      </w:r>
    </w:p>
    <w:p>
      <w:pPr>
        <w:widowControl w:val="0"/>
        <w:wordWrap/>
        <w:adjustRightInd/>
        <w:snapToGrid/>
        <w:spacing w:before="0" w:beforeAutospacing="0" w:after="0" w:afterAutospacing="0" w:line="480" w:lineRule="exact"/>
        <w:ind w:left="0" w:leftChars="0" w:right="0" w:firstLine="56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黑体"/>
          <w:kern w:val="2"/>
          <w:sz w:val="28"/>
          <w:szCs w:val="28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236" w:bottom="1440" w:left="134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2F54"/>
    <w:multiLevelType w:val="multilevel"/>
    <w:tmpl w:val="1DAE2F54"/>
    <w:lvl w:ilvl="0" w:tentative="0">
      <w:start w:val="6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4B3101"/>
    <w:rsid w:val="0BDF5F87"/>
    <w:rsid w:val="192C45BD"/>
    <w:rsid w:val="1FDC38A2"/>
    <w:rsid w:val="2C264A65"/>
    <w:rsid w:val="2E18278D"/>
    <w:rsid w:val="2E755955"/>
    <w:rsid w:val="30797057"/>
    <w:rsid w:val="3ED93EEC"/>
    <w:rsid w:val="40EC1D36"/>
    <w:rsid w:val="485E2B7A"/>
    <w:rsid w:val="60831B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齐小松</dc:creator>
  <cp:lastModifiedBy>齐小松</cp:lastModifiedBy>
  <cp:lastPrinted>2018-12-27T09:40:00Z</cp:lastPrinted>
  <dcterms:modified xsi:type="dcterms:W3CDTF">2018-12-28T09:15:35Z</dcterms:modified>
  <dc:title>深圳市工程建设领域工资保证金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